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октябре 2013 года прокуратурой Серебряно-Прудского муниципального района Московской области была проведена проверка соблюдения требований законодательства при реализации мероприятий Региональной стратегии действий в интересах детей в Московской области на 2013-2017 годы и при принятии администрацией Серебряно-Прудского муниципального района Московской области решения об изменении назначения объекта социальной инфраструктуры для детей, являющегося муниципальной собственностью, по результатам которой были выявлены нарушения законодательства. Администрацией Серебряно-Прудского муниципального района Московской области было рассмотрено представление от 25.10.2013 №7-1-2013 об устранении нарушений законодательства об основных гарантиях прав ребенка в РФ, с участием представителя прокуратуры. 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